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52" w:rsidRPr="00B07D32" w:rsidRDefault="00E575CB" w:rsidP="00D23052">
      <w:pPr>
        <w:spacing w:after="0" w:line="240" w:lineRule="auto"/>
        <w:jc w:val="both"/>
        <w:rPr>
          <w:b/>
        </w:rPr>
      </w:pPr>
      <w:r>
        <w:rPr>
          <w:b/>
        </w:rPr>
        <w:t>DOCUMENTO</w:t>
      </w:r>
      <w:r w:rsidR="00D23052" w:rsidRPr="00B07D32">
        <w:rPr>
          <w:b/>
        </w:rPr>
        <w:t xml:space="preserve"> PER UNA RIFORMA DELLA LEGISLAZIONE REGIONALE SULLE AREE PROTETTE NATURALI, CON IL RAFFORZAMENTO DEL RUOLO DEI PARCHI COME ISTITUZIONI ABILITATE ALLA GESTIONE DEI FONDI STRUTTURALI EUROPEI</w:t>
      </w:r>
    </w:p>
    <w:p w:rsidR="00D23052" w:rsidRPr="00D118E4" w:rsidRDefault="00D23052" w:rsidP="00D23052">
      <w:pPr>
        <w:spacing w:after="0" w:line="240" w:lineRule="auto"/>
        <w:jc w:val="right"/>
        <w:rPr>
          <w:i/>
        </w:rPr>
      </w:pPr>
      <w:r w:rsidRPr="00D118E4">
        <w:rPr>
          <w:i/>
        </w:rPr>
        <w:t>a cura del Circolo del Partito Democratico di Petralia Sottana</w:t>
      </w:r>
    </w:p>
    <w:p w:rsidR="00D23052" w:rsidRDefault="00D23052" w:rsidP="00D23052">
      <w:pPr>
        <w:spacing w:after="0" w:line="240" w:lineRule="auto"/>
        <w:jc w:val="both"/>
      </w:pPr>
    </w:p>
    <w:p w:rsidR="00D23052" w:rsidRDefault="00D23052" w:rsidP="00D23052">
      <w:pPr>
        <w:spacing w:after="0" w:line="240" w:lineRule="auto"/>
        <w:jc w:val="both"/>
      </w:pPr>
    </w:p>
    <w:p w:rsidR="00D23052" w:rsidRDefault="00D23052" w:rsidP="00D23052">
      <w:pPr>
        <w:spacing w:after="0" w:line="240" w:lineRule="auto"/>
        <w:jc w:val="both"/>
      </w:pPr>
      <w:r>
        <w:t xml:space="preserve">La legislazione siciliana sulle aree protette, fondata sulle </w:t>
      </w:r>
      <w:proofErr w:type="spellStart"/>
      <w:r>
        <w:t>LL.RR</w:t>
      </w:r>
      <w:proofErr w:type="spellEnd"/>
      <w:r>
        <w:t xml:space="preserve">. 98/1981 e 14/1988,  precede non solo la legge quadro nazionale 394/1991 ma anche  tutto l’impianto internazionale successivo (Convenzione sulla biodiversità, Agenda 21, PAC riformata, Rete Natura 2000). </w:t>
      </w:r>
    </w:p>
    <w:p w:rsidR="00D23052" w:rsidRDefault="00D23052" w:rsidP="00D23052">
      <w:pPr>
        <w:spacing w:after="0" w:line="240" w:lineRule="auto"/>
        <w:jc w:val="both"/>
      </w:pPr>
      <w:r>
        <w:t xml:space="preserve">La distanza tra </w:t>
      </w:r>
      <w:r w:rsidR="001E52DE">
        <w:t>i vari provvedimenti che dettano norme sul</w:t>
      </w:r>
      <w:r>
        <w:t>la materia</w:t>
      </w:r>
      <w:r w:rsidR="005C721F">
        <w:t xml:space="preserve"> è sicuramente tra le cause che</w:t>
      </w:r>
      <w:r>
        <w:t xml:space="preserve"> hanno determinato:</w:t>
      </w:r>
    </w:p>
    <w:p w:rsidR="00D23052" w:rsidRDefault="00161552" w:rsidP="00D23052">
      <w:pPr>
        <w:pStyle w:val="Paragrafoelenco"/>
        <w:numPr>
          <w:ilvl w:val="0"/>
          <w:numId w:val="13"/>
        </w:numPr>
        <w:jc w:val="both"/>
      </w:pPr>
      <w:r>
        <w:t>frammentarietà gestionale</w:t>
      </w:r>
    </w:p>
    <w:p w:rsidR="00D23052" w:rsidRDefault="00D23052" w:rsidP="00D23052">
      <w:pPr>
        <w:pStyle w:val="Paragrafoelenco"/>
        <w:numPr>
          <w:ilvl w:val="0"/>
          <w:numId w:val="13"/>
        </w:numPr>
        <w:jc w:val="both"/>
      </w:pPr>
      <w:r>
        <w:t>scarso coinvolgimento delle comunità l</w:t>
      </w:r>
      <w:r w:rsidR="00161552">
        <w:t>ocali</w:t>
      </w:r>
    </w:p>
    <w:p w:rsidR="00D23052" w:rsidRDefault="00D23052" w:rsidP="00D23052">
      <w:pPr>
        <w:pStyle w:val="Paragrafoelenco"/>
        <w:numPr>
          <w:ilvl w:val="0"/>
          <w:numId w:val="13"/>
        </w:numPr>
        <w:jc w:val="both"/>
      </w:pPr>
      <w:r>
        <w:t>ritardi nella pianificazione</w:t>
      </w:r>
    </w:p>
    <w:p w:rsidR="005C721F" w:rsidRDefault="00D23052" w:rsidP="00D23052">
      <w:pPr>
        <w:pStyle w:val="Paragrafoelenco"/>
        <w:numPr>
          <w:ilvl w:val="0"/>
          <w:numId w:val="13"/>
        </w:numPr>
        <w:jc w:val="both"/>
      </w:pPr>
      <w:r>
        <w:t xml:space="preserve">insufficiente capacità tecnica e finanziaria degli enti gestori </w:t>
      </w:r>
    </w:p>
    <w:p w:rsidR="00D23052" w:rsidRDefault="00117B4B" w:rsidP="00117B4B">
      <w:pPr>
        <w:pStyle w:val="Paragrafoelenco"/>
        <w:numPr>
          <w:ilvl w:val="0"/>
          <w:numId w:val="13"/>
        </w:numPr>
        <w:jc w:val="both"/>
      </w:pPr>
      <w:r>
        <w:t xml:space="preserve">e, infine, </w:t>
      </w:r>
      <w:r w:rsidR="00D23052">
        <w:t>mancata integrazione con le politiche europee di sviluppo sostenibile.</w:t>
      </w:r>
    </w:p>
    <w:p w:rsidR="005C721F" w:rsidRDefault="005C721F" w:rsidP="005C721F">
      <w:pPr>
        <w:pStyle w:val="Paragrafoelenco"/>
        <w:jc w:val="both"/>
      </w:pPr>
    </w:p>
    <w:p w:rsidR="00D23052" w:rsidRDefault="00F46D96" w:rsidP="00D23052">
      <w:pPr>
        <w:spacing w:after="0" w:line="240" w:lineRule="auto"/>
        <w:jc w:val="both"/>
      </w:pPr>
      <w:r>
        <w:t xml:space="preserve">Nel 2014 la </w:t>
      </w:r>
      <w:r w:rsidR="00D23052">
        <w:t xml:space="preserve">Corte Costituzionale </w:t>
      </w:r>
      <w:r>
        <w:t xml:space="preserve"> con la sentenza n. 212</w:t>
      </w:r>
      <w:r w:rsidR="00D23052">
        <w:t xml:space="preserve"> ha evidenziato l’esigenza di una </w:t>
      </w:r>
      <w:proofErr w:type="spellStart"/>
      <w:r w:rsidR="00D23052">
        <w:t>governance</w:t>
      </w:r>
      <w:proofErr w:type="spellEnd"/>
      <w:r w:rsidR="00D23052">
        <w:t xml:space="preserve"> partecipata nell’istit</w:t>
      </w:r>
      <w:r w:rsidR="006527F2">
        <w:t>uzione e gestione delle riserve.</w:t>
      </w:r>
      <w:r w:rsidR="00D23052">
        <w:t xml:space="preserve"> Ne deriva la necessità di una riforma organica, capace di:</w:t>
      </w:r>
    </w:p>
    <w:p w:rsidR="00D23052" w:rsidRDefault="00D23052" w:rsidP="00D23052">
      <w:pPr>
        <w:pStyle w:val="Paragrafoelenco"/>
        <w:numPr>
          <w:ilvl w:val="0"/>
          <w:numId w:val="14"/>
        </w:numPr>
        <w:jc w:val="both"/>
      </w:pPr>
      <w:r>
        <w:t>ricondurre la Sicilia all’int</w:t>
      </w:r>
      <w:r w:rsidR="00A0204F">
        <w:t>erno del quadro europeo attuale</w:t>
      </w:r>
    </w:p>
    <w:p w:rsidR="00D23052" w:rsidRDefault="00D23052" w:rsidP="00D23052">
      <w:pPr>
        <w:pStyle w:val="Paragrafoelenco"/>
        <w:numPr>
          <w:ilvl w:val="0"/>
          <w:numId w:val="14"/>
        </w:numPr>
        <w:jc w:val="both"/>
      </w:pPr>
      <w:r>
        <w:t>rafforza</w:t>
      </w:r>
      <w:r w:rsidR="00A0204F">
        <w:t>re la tutela della biodiversità</w:t>
      </w:r>
    </w:p>
    <w:p w:rsidR="00D23052" w:rsidRDefault="00D23052" w:rsidP="00D23052">
      <w:pPr>
        <w:pStyle w:val="Paragrafoelenco"/>
        <w:numPr>
          <w:ilvl w:val="0"/>
          <w:numId w:val="14"/>
        </w:numPr>
        <w:jc w:val="both"/>
      </w:pPr>
      <w:r>
        <w:t>trasformare le aree protette in motore di sviluppo sostenibile, allineando la Regione agli standard nazionali e internazionali.</w:t>
      </w:r>
    </w:p>
    <w:p w:rsidR="00D23052" w:rsidRDefault="00D23052" w:rsidP="00D23052">
      <w:pPr>
        <w:spacing w:after="0" w:line="240" w:lineRule="auto"/>
        <w:jc w:val="both"/>
      </w:pPr>
      <w:r>
        <w:t>Il</w:t>
      </w:r>
      <w:r w:rsidR="005C6A74">
        <w:t xml:space="preserve"> nostro</w:t>
      </w:r>
      <w:r>
        <w:t xml:space="preserve"> sistema regionale</w:t>
      </w:r>
      <w:r w:rsidR="00E44097">
        <w:t>, infatti, mostra</w:t>
      </w:r>
      <w:r>
        <w:t xml:space="preserve"> un evidente ritardo rispetto all’evoluzione normativa, scientifica e istituzionale che ha ridefinito il ruolo dei pa</w:t>
      </w:r>
      <w:r w:rsidR="009E0668">
        <w:t>rchi e delle riserve. M</w:t>
      </w:r>
      <w:r>
        <w:t>entre altrove si sono affermati paradigmi basati su tutela della biodiversità, gestione sostenibile delle risorse e partecipazione delle comunità, la Sicilia resta an</w:t>
      </w:r>
      <w:r w:rsidR="0060500F">
        <w:t>corata ai modelli degli anni ’80 del secolo scorso</w:t>
      </w:r>
      <w:r>
        <w:t xml:space="preserve">. Da ciò consegue l’urgenza di dotare le aree protette di strumenti aggiornati, capacità </w:t>
      </w:r>
      <w:r w:rsidR="004A7325">
        <w:t xml:space="preserve">di </w:t>
      </w:r>
      <w:r>
        <w:t>moderne</w:t>
      </w:r>
      <w:r w:rsidR="004A7325">
        <w:t xml:space="preserve"> capacità</w:t>
      </w:r>
      <w:r>
        <w:t xml:space="preserve"> e </w:t>
      </w:r>
      <w:r w:rsidR="004A7325">
        <w:t xml:space="preserve">quindi di </w:t>
      </w:r>
      <w:r>
        <w:t>una visione strategica coerente.</w:t>
      </w:r>
    </w:p>
    <w:p w:rsidR="008871A3" w:rsidRDefault="00D23052" w:rsidP="00D23052">
      <w:pPr>
        <w:spacing w:after="0" w:line="240" w:lineRule="auto"/>
        <w:jc w:val="both"/>
      </w:pPr>
      <w:r>
        <w:t>In questo contesto, riteniamo che il Parco deve compiere un salto di qualità: da semplice ente di tutela deve evolversi in istituzione territoriale capace di guidare processi di sviluppo sostenibile, coordinare i Comuni, integrare politiche settoriali e gestire i fondi strutturali europei destinati alla biodiversità, all’ambiente e alla valorizzazione delle aree interne. Il rafforzamento del suo ruolo</w:t>
      </w:r>
      <w:r w:rsidR="00EE2C96">
        <w:t xml:space="preserve"> in questo senso</w:t>
      </w:r>
      <w:r>
        <w:t xml:space="preserve"> segnerebbe il passaggio da interventi episodici</w:t>
      </w:r>
      <w:r w:rsidR="008871A3">
        <w:t xml:space="preserve"> e frammentari</w:t>
      </w:r>
      <w:r>
        <w:t xml:space="preserve"> a una </w:t>
      </w:r>
      <w:proofErr w:type="spellStart"/>
      <w:r>
        <w:t>governance</w:t>
      </w:r>
      <w:proofErr w:type="spellEnd"/>
      <w:r>
        <w:t xml:space="preserve"> stabile, integrata e autorevole.</w:t>
      </w:r>
      <w:r w:rsidR="008871A3">
        <w:t xml:space="preserve"> </w:t>
      </w:r>
    </w:p>
    <w:p w:rsidR="00D23052" w:rsidRDefault="008871A3" w:rsidP="00D23052">
      <w:pPr>
        <w:spacing w:after="0" w:line="240" w:lineRule="auto"/>
        <w:jc w:val="both"/>
      </w:pPr>
      <w:r>
        <w:t>Così il</w:t>
      </w:r>
      <w:r w:rsidR="00D23052">
        <w:t xml:space="preserve"> Parco assumerebbe progressivamente le seguenti funzioni:</w:t>
      </w:r>
    </w:p>
    <w:p w:rsidR="00D23052" w:rsidRDefault="00D23052" w:rsidP="00D23052">
      <w:pPr>
        <w:pStyle w:val="Paragrafoelenco"/>
        <w:numPr>
          <w:ilvl w:val="0"/>
          <w:numId w:val="15"/>
        </w:numPr>
        <w:jc w:val="both"/>
      </w:pPr>
      <w:r>
        <w:t>Centro di competenza tecnico-scientifica</w:t>
      </w:r>
    </w:p>
    <w:p w:rsidR="00D23052" w:rsidRDefault="00D23052" w:rsidP="00D23052">
      <w:pPr>
        <w:pStyle w:val="Paragrafoelenco"/>
        <w:numPr>
          <w:ilvl w:val="0"/>
          <w:numId w:val="15"/>
        </w:numPr>
        <w:jc w:val="both"/>
      </w:pPr>
      <w:r>
        <w:t xml:space="preserve">Motore di innovazione territoriale </w:t>
      </w:r>
      <w:r w:rsidR="00161552">
        <w:t>e progettualità europea</w:t>
      </w:r>
    </w:p>
    <w:p w:rsidR="00D23052" w:rsidRDefault="00D23052" w:rsidP="00D23052">
      <w:pPr>
        <w:pStyle w:val="Paragrafoelenco"/>
        <w:numPr>
          <w:ilvl w:val="0"/>
          <w:numId w:val="15"/>
        </w:numPr>
        <w:jc w:val="both"/>
      </w:pPr>
      <w:r>
        <w:t>G</w:t>
      </w:r>
      <w:r w:rsidR="00161552">
        <w:t>arante della qualità ambientale</w:t>
      </w:r>
    </w:p>
    <w:p w:rsidR="00D23052" w:rsidRDefault="00D23052" w:rsidP="00D23052">
      <w:pPr>
        <w:pStyle w:val="Paragrafoelenco"/>
        <w:numPr>
          <w:ilvl w:val="0"/>
          <w:numId w:val="15"/>
        </w:numPr>
        <w:jc w:val="both"/>
      </w:pPr>
      <w:r>
        <w:t>Punto di riferimento democratico per le comunità dell’area protetta.</w:t>
      </w:r>
    </w:p>
    <w:p w:rsidR="00D23052" w:rsidRDefault="00D23052" w:rsidP="00D23052">
      <w:pPr>
        <w:spacing w:after="0" w:line="240" w:lineRule="auto"/>
        <w:jc w:val="both"/>
      </w:pPr>
    </w:p>
    <w:p w:rsidR="00D23052" w:rsidRPr="00D118E4" w:rsidRDefault="00D23052" w:rsidP="00D23052">
      <w:pPr>
        <w:spacing w:after="0" w:line="240" w:lineRule="auto"/>
        <w:jc w:val="both"/>
        <w:rPr>
          <w:b/>
        </w:rPr>
      </w:pPr>
      <w:r w:rsidRPr="00D118E4">
        <w:rPr>
          <w:b/>
        </w:rPr>
        <w:t>VISIONE STRATEGICA: IL PARCO COME ISTITUZIONE PER TUTELA E SVILUPPO</w:t>
      </w:r>
    </w:p>
    <w:p w:rsidR="00D23052" w:rsidRDefault="00161552" w:rsidP="00D23052">
      <w:pPr>
        <w:spacing w:after="0" w:line="240" w:lineRule="auto"/>
        <w:jc w:val="both"/>
      </w:pPr>
      <w:r>
        <w:t>Con la riforma</w:t>
      </w:r>
      <w:r w:rsidR="00D23052">
        <w:t xml:space="preserve"> il Parco dovrebbe assumere il profilo d</w:t>
      </w:r>
      <w:r>
        <w:t>i una</w:t>
      </w:r>
      <w:r w:rsidR="00D23052">
        <w:t xml:space="preserve"> istituzione territoriale avanzata, capace di:</w:t>
      </w:r>
    </w:p>
    <w:p w:rsidR="00D23052" w:rsidRDefault="00D23052" w:rsidP="00D23052">
      <w:pPr>
        <w:pStyle w:val="Paragrafoelenco"/>
        <w:numPr>
          <w:ilvl w:val="0"/>
          <w:numId w:val="16"/>
        </w:numPr>
        <w:jc w:val="both"/>
      </w:pPr>
      <w:r>
        <w:t>pianificare</w:t>
      </w:r>
    </w:p>
    <w:p w:rsidR="00D23052" w:rsidRDefault="00D23052" w:rsidP="00D23052">
      <w:pPr>
        <w:pStyle w:val="Paragrafoelenco"/>
        <w:numPr>
          <w:ilvl w:val="0"/>
          <w:numId w:val="16"/>
        </w:numPr>
        <w:jc w:val="both"/>
      </w:pPr>
      <w:r>
        <w:t xml:space="preserve">coordinare </w:t>
      </w:r>
    </w:p>
    <w:p w:rsidR="00D23052" w:rsidRDefault="00D23052" w:rsidP="00D23052">
      <w:pPr>
        <w:pStyle w:val="Paragrafoelenco"/>
        <w:numPr>
          <w:ilvl w:val="0"/>
          <w:numId w:val="16"/>
        </w:numPr>
        <w:jc w:val="both"/>
      </w:pPr>
      <w:r>
        <w:lastRenderedPageBreak/>
        <w:t>attuare politiche integrate su biodiversità, paesaggio, agricoltura sostenibile, turismo verde, cultura, formazione e innovazione.</w:t>
      </w:r>
    </w:p>
    <w:p w:rsidR="00D23052" w:rsidRDefault="00D23052" w:rsidP="00D23052">
      <w:pPr>
        <w:spacing w:after="0" w:line="240" w:lineRule="auto"/>
        <w:jc w:val="both"/>
      </w:pPr>
      <w:r>
        <w:t>In questo orizzonte, il Parco dovrebbe diventare attore istituzionale privilegiato per la gestione dei fondi strutturali europei, superando la marginalità del passato e affermandosi come piattaforma progettuale a</w:t>
      </w:r>
      <w:r w:rsidR="008871A3">
        <w:t>l</w:t>
      </w:r>
      <w:r>
        <w:t xml:space="preserve"> servizio del territorio.</w:t>
      </w:r>
    </w:p>
    <w:p w:rsidR="00D23052" w:rsidRDefault="00D23052" w:rsidP="00D23052">
      <w:pPr>
        <w:spacing w:after="0" w:line="240" w:lineRule="auto"/>
        <w:jc w:val="both"/>
      </w:pPr>
      <w:r>
        <w:t>La sua missione si amplierebbe includendo:</w:t>
      </w:r>
    </w:p>
    <w:p w:rsidR="00D23052" w:rsidRDefault="00161552" w:rsidP="00D23052">
      <w:pPr>
        <w:pStyle w:val="Paragrafoelenco"/>
        <w:numPr>
          <w:ilvl w:val="0"/>
          <w:numId w:val="17"/>
        </w:numPr>
        <w:jc w:val="both"/>
      </w:pPr>
      <w:r>
        <w:t>tutela attiva degli ecosistemi</w:t>
      </w:r>
    </w:p>
    <w:p w:rsidR="00D23052" w:rsidRDefault="00D23052" w:rsidP="00D23052">
      <w:pPr>
        <w:pStyle w:val="Paragrafoelenco"/>
        <w:numPr>
          <w:ilvl w:val="0"/>
          <w:numId w:val="17"/>
        </w:numPr>
        <w:jc w:val="both"/>
      </w:pPr>
      <w:r>
        <w:t>prevenz</w:t>
      </w:r>
      <w:r w:rsidR="00161552">
        <w:t>ione del dissesto idrogeologico</w:t>
      </w:r>
    </w:p>
    <w:p w:rsidR="00D23052" w:rsidRDefault="00D23052" w:rsidP="00F71D2E">
      <w:pPr>
        <w:pStyle w:val="Paragrafoelenco"/>
        <w:numPr>
          <w:ilvl w:val="0"/>
          <w:numId w:val="17"/>
        </w:numPr>
        <w:jc w:val="both"/>
      </w:pPr>
      <w:r>
        <w:t xml:space="preserve">rigenerazione dei paesaggi culturali, agricoli e dei </w:t>
      </w:r>
      <w:r w:rsidRPr="00E575CB">
        <w:rPr>
          <w:b/>
        </w:rPr>
        <w:t>centri storici</w:t>
      </w:r>
      <w:r>
        <w:t xml:space="preserve"> </w:t>
      </w:r>
    </w:p>
    <w:p w:rsidR="00D23052" w:rsidRDefault="00D23052" w:rsidP="00161552">
      <w:pPr>
        <w:pStyle w:val="Paragrafoelenco"/>
        <w:numPr>
          <w:ilvl w:val="0"/>
          <w:numId w:val="17"/>
        </w:numPr>
        <w:jc w:val="both"/>
      </w:pPr>
      <w:r>
        <w:t xml:space="preserve">sostegno alle comunità locali </w:t>
      </w:r>
    </w:p>
    <w:p w:rsidR="00D23052" w:rsidRDefault="00D23052" w:rsidP="00161552">
      <w:pPr>
        <w:pStyle w:val="Paragrafoelenco"/>
        <w:numPr>
          <w:ilvl w:val="0"/>
          <w:numId w:val="17"/>
        </w:numPr>
        <w:jc w:val="both"/>
      </w:pPr>
      <w:r>
        <w:t>promozione di un modello di sviluppo fondato su sostenibilità e innovazione.</w:t>
      </w:r>
    </w:p>
    <w:p w:rsidR="00F71D2E" w:rsidRDefault="00F71D2E" w:rsidP="00D23052">
      <w:pPr>
        <w:spacing w:after="0" w:line="240" w:lineRule="auto"/>
        <w:jc w:val="both"/>
      </w:pPr>
    </w:p>
    <w:p w:rsidR="00D23052" w:rsidRDefault="00D23052" w:rsidP="00D23052">
      <w:pPr>
        <w:spacing w:after="0" w:line="240" w:lineRule="auto"/>
        <w:jc w:val="both"/>
      </w:pPr>
      <w:r>
        <w:t xml:space="preserve">Presupposto indispensabile per realizzare questa evoluzione è il  </w:t>
      </w:r>
      <w:r w:rsidRPr="00E575CB">
        <w:rPr>
          <w:b/>
        </w:rPr>
        <w:t>rafforzamento della capacità amministrativa, tecnica e politica dell’ente</w:t>
      </w:r>
      <w:r>
        <w:t>.</w:t>
      </w:r>
    </w:p>
    <w:p w:rsidR="00D23052" w:rsidRDefault="00D23052" w:rsidP="00D23052">
      <w:pPr>
        <w:spacing w:after="0" w:line="240" w:lineRule="auto"/>
        <w:jc w:val="both"/>
      </w:pPr>
      <w:r>
        <w:t>La le</w:t>
      </w:r>
      <w:r w:rsidR="00161552">
        <w:t>gge di riforma dovrebbe puntare</w:t>
      </w:r>
      <w:r>
        <w:t xml:space="preserve"> alla creazione di un "Sistema Regionale delle Aree Naturali Protette", basato su:</w:t>
      </w:r>
    </w:p>
    <w:p w:rsidR="00D23052" w:rsidRDefault="00D23052" w:rsidP="00D23052">
      <w:pPr>
        <w:pStyle w:val="Paragrafoelenco"/>
        <w:numPr>
          <w:ilvl w:val="0"/>
          <w:numId w:val="18"/>
        </w:numPr>
        <w:jc w:val="both"/>
      </w:pPr>
      <w:r>
        <w:t>Rete Ecologica Siciliana</w:t>
      </w:r>
    </w:p>
    <w:p w:rsidR="00D23052" w:rsidRDefault="00D23052" w:rsidP="00D23052">
      <w:pPr>
        <w:pStyle w:val="Paragrafoelenco"/>
        <w:numPr>
          <w:ilvl w:val="0"/>
          <w:numId w:val="18"/>
        </w:numPr>
        <w:jc w:val="both"/>
      </w:pPr>
      <w:r>
        <w:t>Parchi, Riserve, Siti Natura 2000</w:t>
      </w:r>
    </w:p>
    <w:p w:rsidR="00D23052" w:rsidRDefault="00D23052" w:rsidP="00D23052">
      <w:pPr>
        <w:pStyle w:val="Paragrafoelenco"/>
        <w:numPr>
          <w:ilvl w:val="0"/>
          <w:numId w:val="18"/>
        </w:numPr>
        <w:jc w:val="both"/>
      </w:pPr>
      <w:r>
        <w:t>corridoi ecologici</w:t>
      </w:r>
    </w:p>
    <w:p w:rsidR="00D23052" w:rsidRDefault="00D23052" w:rsidP="00D23052">
      <w:pPr>
        <w:pStyle w:val="Paragrafoelenco"/>
        <w:numPr>
          <w:ilvl w:val="0"/>
          <w:numId w:val="18"/>
        </w:numPr>
        <w:jc w:val="both"/>
      </w:pPr>
      <w:r>
        <w:t xml:space="preserve">integrazione con la </w:t>
      </w:r>
      <w:r w:rsidRPr="00E575CB">
        <w:rPr>
          <w:b/>
        </w:rPr>
        <w:t>pianificazione urbanistica regionale</w:t>
      </w:r>
      <w:r w:rsidR="00E575CB">
        <w:rPr>
          <w:b/>
        </w:rPr>
        <w:t>,</w:t>
      </w:r>
      <w:r w:rsidRPr="00E575CB">
        <w:rPr>
          <w:b/>
        </w:rPr>
        <w:t xml:space="preserve"> </w:t>
      </w:r>
      <w:r w:rsidR="00E575CB" w:rsidRPr="00E575CB">
        <w:rPr>
          <w:b/>
        </w:rPr>
        <w:t xml:space="preserve">territoriale </w:t>
      </w:r>
      <w:r w:rsidRPr="00E575CB">
        <w:rPr>
          <w:b/>
        </w:rPr>
        <w:t>e comunale</w:t>
      </w:r>
      <w:r>
        <w:t>.</w:t>
      </w:r>
    </w:p>
    <w:p w:rsidR="00D23052" w:rsidRDefault="00D23052" w:rsidP="00D23052">
      <w:pPr>
        <w:spacing w:after="0" w:line="240" w:lineRule="auto"/>
        <w:jc w:val="both"/>
      </w:pPr>
    </w:p>
    <w:p w:rsidR="00D23052" w:rsidRPr="00D118E4" w:rsidRDefault="00D23052" w:rsidP="00D23052">
      <w:pPr>
        <w:spacing w:after="0" w:line="240" w:lineRule="auto"/>
        <w:jc w:val="both"/>
        <w:rPr>
          <w:b/>
        </w:rPr>
      </w:pPr>
      <w:r w:rsidRPr="00D118E4">
        <w:rPr>
          <w:b/>
        </w:rPr>
        <w:t>PARTECIPAZIONE, GOVERNANCE E COMPETENZE</w:t>
      </w:r>
    </w:p>
    <w:p w:rsidR="002425FD" w:rsidRDefault="00D23052" w:rsidP="00D23052">
      <w:pPr>
        <w:spacing w:after="0" w:line="240" w:lineRule="auto"/>
        <w:jc w:val="both"/>
      </w:pPr>
      <w:r>
        <w:t xml:space="preserve">Per rendere il Parco una vera istituzione territoriale è necessario riequilibrare la rappresentanza. </w:t>
      </w:r>
    </w:p>
    <w:p w:rsidR="00D23052" w:rsidRDefault="00D23052" w:rsidP="00D23052">
      <w:pPr>
        <w:spacing w:after="0" w:line="240" w:lineRule="auto"/>
        <w:jc w:val="both"/>
      </w:pPr>
      <w:r>
        <w:t xml:space="preserve">La riforma dovrebbe prevedere: </w:t>
      </w:r>
    </w:p>
    <w:p w:rsidR="00D23052" w:rsidRDefault="00D23052" w:rsidP="00D23052">
      <w:pPr>
        <w:pStyle w:val="Paragrafoelenco"/>
        <w:numPr>
          <w:ilvl w:val="0"/>
          <w:numId w:val="19"/>
        </w:numPr>
        <w:jc w:val="both"/>
      </w:pPr>
      <w:r>
        <w:t>l'introduzione di una assemblea dei rappresentanti degli interessi diffusi del Parco</w:t>
      </w:r>
    </w:p>
    <w:p w:rsidR="00D23052" w:rsidRDefault="00D23052" w:rsidP="00D23052">
      <w:pPr>
        <w:pStyle w:val="Paragrafoelenco"/>
        <w:numPr>
          <w:ilvl w:val="0"/>
          <w:numId w:val="19"/>
        </w:numPr>
        <w:jc w:val="both"/>
      </w:pPr>
      <w:r>
        <w:t>Il rafforzamento del ruolo degli enti locali</w:t>
      </w:r>
    </w:p>
    <w:p w:rsidR="00D23052" w:rsidRDefault="00D23052" w:rsidP="00D23052">
      <w:pPr>
        <w:pStyle w:val="Paragrafoelenco"/>
        <w:numPr>
          <w:ilvl w:val="0"/>
          <w:numId w:val="19"/>
        </w:numPr>
        <w:jc w:val="both"/>
      </w:pPr>
      <w:r>
        <w:t>la formazione specialistica per il personale</w:t>
      </w:r>
    </w:p>
    <w:p w:rsidR="002425FD" w:rsidRDefault="00D23052" w:rsidP="00161552">
      <w:pPr>
        <w:pStyle w:val="Paragrafoelenco"/>
        <w:numPr>
          <w:ilvl w:val="0"/>
          <w:numId w:val="19"/>
        </w:numPr>
        <w:jc w:val="both"/>
      </w:pPr>
      <w:r>
        <w:t>competenze tecniche per progettazione europea e monitoraggio della biodiversità.</w:t>
      </w:r>
    </w:p>
    <w:p w:rsidR="00161552" w:rsidRDefault="00161552" w:rsidP="00161552">
      <w:pPr>
        <w:pStyle w:val="Paragrafoelenco"/>
        <w:jc w:val="both"/>
      </w:pPr>
    </w:p>
    <w:p w:rsidR="00F71D2E" w:rsidRDefault="00D23052" w:rsidP="00D23052">
      <w:pPr>
        <w:spacing w:after="0" w:line="240" w:lineRule="auto"/>
        <w:jc w:val="both"/>
      </w:pPr>
      <w:r>
        <w:t>Occorre ristabilire la composizione originaria del Consiglio del Parco, reinserendo le rappresentanze dei C</w:t>
      </w:r>
      <w:r w:rsidR="00161552">
        <w:t>onsigli comunali</w:t>
      </w:r>
      <w:r w:rsidR="00F71D2E">
        <w:t xml:space="preserve"> e</w:t>
      </w:r>
      <w:r w:rsidR="00161552">
        <w:t xml:space="preserve"> garantendo le </w:t>
      </w:r>
      <w:r>
        <w:t xml:space="preserve">minoranze. </w:t>
      </w:r>
    </w:p>
    <w:p w:rsidR="00D23052" w:rsidRDefault="00D23052" w:rsidP="00D23052">
      <w:pPr>
        <w:spacing w:after="0" w:line="240" w:lineRule="auto"/>
        <w:jc w:val="both"/>
      </w:pPr>
      <w:r>
        <w:t xml:space="preserve">Tutto ciò assicurerebbe: </w:t>
      </w:r>
    </w:p>
    <w:p w:rsidR="00D23052" w:rsidRDefault="00D23052" w:rsidP="00D23052">
      <w:pPr>
        <w:pStyle w:val="Paragrafoelenco"/>
        <w:numPr>
          <w:ilvl w:val="0"/>
          <w:numId w:val="20"/>
        </w:numPr>
        <w:jc w:val="both"/>
      </w:pPr>
      <w:r>
        <w:t>pluralismo nelle decisioni</w:t>
      </w:r>
    </w:p>
    <w:p w:rsidR="00D23052" w:rsidRDefault="00D23052" w:rsidP="00D23052">
      <w:pPr>
        <w:pStyle w:val="Paragrafoelenco"/>
        <w:numPr>
          <w:ilvl w:val="0"/>
          <w:numId w:val="20"/>
        </w:numPr>
        <w:jc w:val="both"/>
      </w:pPr>
      <w:r>
        <w:t>reale presenza delle comunità locali</w:t>
      </w:r>
    </w:p>
    <w:p w:rsidR="00D23052" w:rsidRDefault="00D23052" w:rsidP="00D23052">
      <w:pPr>
        <w:pStyle w:val="Paragrafoelenco"/>
        <w:numPr>
          <w:ilvl w:val="0"/>
          <w:numId w:val="20"/>
        </w:numPr>
        <w:jc w:val="both"/>
      </w:pPr>
      <w:r>
        <w:t xml:space="preserve">trasparenza </w:t>
      </w:r>
    </w:p>
    <w:p w:rsidR="00D23052" w:rsidRDefault="00D23052" w:rsidP="00D23052">
      <w:pPr>
        <w:pStyle w:val="Paragrafoelenco"/>
        <w:numPr>
          <w:ilvl w:val="0"/>
          <w:numId w:val="20"/>
        </w:numPr>
        <w:jc w:val="both"/>
      </w:pPr>
      <w:r>
        <w:t>controllo anche da parte delle opposizioni.</w:t>
      </w:r>
    </w:p>
    <w:p w:rsidR="00D23052" w:rsidRDefault="00D23052" w:rsidP="00D23052">
      <w:pPr>
        <w:spacing w:after="0" w:line="240" w:lineRule="auto"/>
        <w:jc w:val="both"/>
      </w:pPr>
    </w:p>
    <w:p w:rsidR="00D23052" w:rsidRDefault="00D23052" w:rsidP="00D23052">
      <w:pPr>
        <w:spacing w:after="0" w:line="240" w:lineRule="auto"/>
        <w:jc w:val="both"/>
      </w:pPr>
      <w:r>
        <w:t xml:space="preserve">Una </w:t>
      </w:r>
      <w:proofErr w:type="spellStart"/>
      <w:r>
        <w:t>governance</w:t>
      </w:r>
      <w:proofErr w:type="spellEnd"/>
      <w:r>
        <w:t xml:space="preserve"> così strutturata rafforzerebbe il legame tra Parco e territorio, rendendo più solide le strategie finanziate con fondi europei e rendendo l’ente capace di gestire risorse complesse secondo criteri di trasparenza, efficacia ed efficienza.</w:t>
      </w:r>
    </w:p>
    <w:p w:rsidR="00D23052" w:rsidRDefault="00D23052" w:rsidP="00D23052">
      <w:pPr>
        <w:spacing w:after="0" w:line="240" w:lineRule="auto"/>
        <w:jc w:val="both"/>
      </w:pPr>
    </w:p>
    <w:p w:rsidR="00D23052" w:rsidRPr="00D118E4" w:rsidRDefault="00D23052" w:rsidP="00D23052">
      <w:pPr>
        <w:spacing w:after="0" w:line="240" w:lineRule="auto"/>
        <w:jc w:val="both"/>
        <w:rPr>
          <w:b/>
        </w:rPr>
      </w:pPr>
      <w:r w:rsidRPr="00D118E4">
        <w:rPr>
          <w:b/>
        </w:rPr>
        <w:t>PARCHI E SVILUPPO SOSTENIBILE</w:t>
      </w:r>
    </w:p>
    <w:p w:rsidR="00D23052" w:rsidRDefault="00D23052" w:rsidP="00D23052">
      <w:pPr>
        <w:spacing w:after="0" w:line="240" w:lineRule="auto"/>
        <w:jc w:val="both"/>
      </w:pPr>
      <w:r>
        <w:t>La riforma dovrebbe riconoscere le aree protette come:</w:t>
      </w:r>
    </w:p>
    <w:p w:rsidR="00D23052" w:rsidRDefault="00D23052" w:rsidP="00D23052">
      <w:pPr>
        <w:pStyle w:val="Paragrafoelenco"/>
        <w:numPr>
          <w:ilvl w:val="0"/>
          <w:numId w:val="21"/>
        </w:numPr>
        <w:jc w:val="both"/>
      </w:pPr>
      <w:r>
        <w:t>laboratori di biodiversità</w:t>
      </w:r>
    </w:p>
    <w:p w:rsidR="00D23052" w:rsidRDefault="00D23052" w:rsidP="00D23052">
      <w:pPr>
        <w:pStyle w:val="Paragrafoelenco"/>
        <w:numPr>
          <w:ilvl w:val="0"/>
          <w:numId w:val="21"/>
        </w:numPr>
        <w:jc w:val="both"/>
      </w:pPr>
      <w:r>
        <w:t>infrastrutture verdi strategiche</w:t>
      </w:r>
    </w:p>
    <w:p w:rsidR="00D23052" w:rsidRDefault="00D23052" w:rsidP="00D23052">
      <w:pPr>
        <w:pStyle w:val="Paragrafoelenco"/>
        <w:numPr>
          <w:ilvl w:val="0"/>
          <w:numId w:val="21"/>
        </w:numPr>
        <w:jc w:val="both"/>
      </w:pPr>
      <w:r>
        <w:t>spazi di economia sostenibile</w:t>
      </w:r>
    </w:p>
    <w:p w:rsidR="00D23052" w:rsidRDefault="00D23052" w:rsidP="00D23052">
      <w:pPr>
        <w:pStyle w:val="Paragrafoelenco"/>
        <w:numPr>
          <w:ilvl w:val="0"/>
          <w:numId w:val="21"/>
        </w:numPr>
        <w:jc w:val="both"/>
      </w:pPr>
      <w:r>
        <w:lastRenderedPageBreak/>
        <w:t xml:space="preserve">leve per innovazione sociale e culturale. </w:t>
      </w:r>
    </w:p>
    <w:p w:rsidR="00D23052" w:rsidRDefault="00D23052" w:rsidP="00D23052">
      <w:pPr>
        <w:spacing w:after="0" w:line="240" w:lineRule="auto"/>
        <w:jc w:val="both"/>
      </w:pPr>
    </w:p>
    <w:p w:rsidR="00D23052" w:rsidRDefault="00D23052" w:rsidP="00D23052">
      <w:pPr>
        <w:spacing w:after="0" w:line="240" w:lineRule="auto"/>
        <w:jc w:val="both"/>
      </w:pPr>
      <w:r>
        <w:t xml:space="preserve">Assume in questo quadro particolare risalto il ruolo chiave in vari settori: </w:t>
      </w:r>
    </w:p>
    <w:p w:rsidR="00D23052" w:rsidRDefault="00D23052" w:rsidP="00D23052">
      <w:pPr>
        <w:pStyle w:val="Paragrafoelenco"/>
        <w:numPr>
          <w:ilvl w:val="0"/>
          <w:numId w:val="22"/>
        </w:numPr>
        <w:jc w:val="both"/>
      </w:pPr>
      <w:r>
        <w:t>agricoltura di qualità e biologica</w:t>
      </w:r>
    </w:p>
    <w:p w:rsidR="00D23052" w:rsidRDefault="00D23052" w:rsidP="00D23052">
      <w:pPr>
        <w:pStyle w:val="Paragrafoelenco"/>
        <w:numPr>
          <w:ilvl w:val="0"/>
          <w:numId w:val="22"/>
        </w:numPr>
        <w:jc w:val="both"/>
      </w:pPr>
      <w:r>
        <w:t>artigianato e microimprese verdi</w:t>
      </w:r>
    </w:p>
    <w:p w:rsidR="00D23052" w:rsidRDefault="00D23052" w:rsidP="00D23052">
      <w:pPr>
        <w:pStyle w:val="Paragrafoelenco"/>
        <w:numPr>
          <w:ilvl w:val="0"/>
          <w:numId w:val="22"/>
        </w:numPr>
        <w:jc w:val="both"/>
      </w:pPr>
      <w:r>
        <w:t>turismo naturalistico e culturale</w:t>
      </w:r>
    </w:p>
    <w:p w:rsidR="00D23052" w:rsidRDefault="00D23052" w:rsidP="00D23052">
      <w:pPr>
        <w:pStyle w:val="Paragrafoelenco"/>
        <w:numPr>
          <w:ilvl w:val="0"/>
          <w:numId w:val="22"/>
        </w:numPr>
        <w:jc w:val="both"/>
      </w:pPr>
      <w:r>
        <w:t>educazione ambientale</w:t>
      </w:r>
    </w:p>
    <w:p w:rsidR="00D23052" w:rsidRDefault="00D23052" w:rsidP="00D23052">
      <w:pPr>
        <w:pStyle w:val="Paragrafoelenco"/>
        <w:numPr>
          <w:ilvl w:val="0"/>
          <w:numId w:val="22"/>
        </w:numPr>
        <w:jc w:val="both"/>
      </w:pPr>
      <w:r>
        <w:t>ricerca scientifica e citizen science</w:t>
      </w:r>
    </w:p>
    <w:p w:rsidR="00D23052" w:rsidRDefault="00D23052" w:rsidP="00D23052">
      <w:pPr>
        <w:spacing w:after="0" w:line="240" w:lineRule="auto"/>
        <w:jc w:val="both"/>
      </w:pPr>
      <w:r>
        <w:t>Il Parco diventa, così, promotore e coordinatore di filiere sostenibili finanziate da fondi UE.</w:t>
      </w:r>
    </w:p>
    <w:p w:rsidR="00D23052" w:rsidRDefault="00D23052" w:rsidP="00D23052">
      <w:pPr>
        <w:spacing w:after="0" w:line="240" w:lineRule="auto"/>
        <w:jc w:val="both"/>
      </w:pPr>
    </w:p>
    <w:p w:rsidR="00D23052" w:rsidRPr="00D118E4" w:rsidRDefault="00D23052" w:rsidP="00D23052">
      <w:pPr>
        <w:spacing w:after="0" w:line="240" w:lineRule="auto"/>
        <w:jc w:val="both"/>
        <w:rPr>
          <w:b/>
        </w:rPr>
      </w:pPr>
      <w:r w:rsidRPr="00D118E4">
        <w:rPr>
          <w:b/>
        </w:rPr>
        <w:t>INTEGRAZIONE CON I FONDI STRUTTURALI EUROPEI</w:t>
      </w:r>
    </w:p>
    <w:p w:rsidR="00D23052" w:rsidRDefault="00D23052" w:rsidP="00D23052">
      <w:pPr>
        <w:spacing w:after="0" w:line="240" w:lineRule="auto"/>
        <w:jc w:val="both"/>
      </w:pPr>
      <w:r>
        <w:t xml:space="preserve">La riforma deve prevedere che gli Enti Parco diventino </w:t>
      </w:r>
    </w:p>
    <w:p w:rsidR="00D23052" w:rsidRDefault="00D23052" w:rsidP="00D23052">
      <w:pPr>
        <w:spacing w:after="0" w:line="240" w:lineRule="auto"/>
        <w:jc w:val="both"/>
      </w:pPr>
      <w:r>
        <w:t xml:space="preserve">1. </w:t>
      </w:r>
      <w:r w:rsidRPr="00D118E4">
        <w:rPr>
          <w:b/>
        </w:rPr>
        <w:t>Sportelli unici per la progettazione d’area vasta</w:t>
      </w:r>
      <w:r>
        <w:t>, fornendo assistenza tecnica ai Comuni e coordinando interventi.</w:t>
      </w:r>
    </w:p>
    <w:p w:rsidR="00D23052" w:rsidRDefault="00D23052" w:rsidP="00D23052">
      <w:pPr>
        <w:spacing w:after="0" w:line="240" w:lineRule="auto"/>
        <w:jc w:val="both"/>
      </w:pPr>
      <w:r>
        <w:t xml:space="preserve">2. </w:t>
      </w:r>
      <w:r w:rsidRPr="00D118E4">
        <w:rPr>
          <w:b/>
        </w:rPr>
        <w:t>Soggetti attuatori</w:t>
      </w:r>
      <w:r>
        <w:t xml:space="preserve"> di interventi finanziati con:</w:t>
      </w:r>
    </w:p>
    <w:p w:rsidR="00D23052" w:rsidRDefault="00D23052" w:rsidP="00D23052">
      <w:pPr>
        <w:pStyle w:val="Paragrafoelenco"/>
        <w:numPr>
          <w:ilvl w:val="0"/>
          <w:numId w:val="23"/>
        </w:numPr>
        <w:jc w:val="both"/>
      </w:pPr>
      <w:r>
        <w:t>FESR (infrastrutture verdi, mobilità sostenibile)</w:t>
      </w:r>
    </w:p>
    <w:p w:rsidR="00D23052" w:rsidRDefault="00D23052" w:rsidP="00D23052">
      <w:pPr>
        <w:pStyle w:val="Paragrafoelenco"/>
        <w:numPr>
          <w:ilvl w:val="0"/>
          <w:numId w:val="23"/>
        </w:numPr>
        <w:jc w:val="both"/>
      </w:pPr>
      <w:r>
        <w:t>FEASR (agricoltura sostenibile, filiere corte)</w:t>
      </w:r>
    </w:p>
    <w:p w:rsidR="00D23052" w:rsidRDefault="00D23052" w:rsidP="00D23052">
      <w:pPr>
        <w:pStyle w:val="Paragrafoelenco"/>
        <w:numPr>
          <w:ilvl w:val="0"/>
          <w:numId w:val="23"/>
        </w:numPr>
        <w:jc w:val="both"/>
      </w:pPr>
      <w:r>
        <w:t>LIFE (conservazione della biodiversità)</w:t>
      </w:r>
    </w:p>
    <w:p w:rsidR="00D23052" w:rsidRDefault="00D23052" w:rsidP="00D23052">
      <w:pPr>
        <w:pStyle w:val="Paragrafoelenco"/>
        <w:numPr>
          <w:ilvl w:val="0"/>
          <w:numId w:val="23"/>
        </w:numPr>
        <w:jc w:val="both"/>
      </w:pPr>
      <w:proofErr w:type="spellStart"/>
      <w:r>
        <w:t>Horizon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(ricerca e monitoraggio).</w:t>
      </w:r>
    </w:p>
    <w:p w:rsidR="00D23052" w:rsidRDefault="00D23052" w:rsidP="00D23052">
      <w:pPr>
        <w:spacing w:after="0" w:line="240" w:lineRule="auto"/>
        <w:jc w:val="both"/>
      </w:pPr>
      <w:r>
        <w:t xml:space="preserve">3. </w:t>
      </w:r>
      <w:r>
        <w:rPr>
          <w:b/>
        </w:rPr>
        <w:t>B</w:t>
      </w:r>
      <w:r w:rsidRPr="00D118E4">
        <w:rPr>
          <w:b/>
        </w:rPr>
        <w:t>eneficiari diretti di programmi europei.</w:t>
      </w:r>
    </w:p>
    <w:p w:rsidR="00D23052" w:rsidRDefault="00D23052" w:rsidP="00D23052">
      <w:pPr>
        <w:spacing w:after="0" w:line="240" w:lineRule="auto"/>
        <w:jc w:val="both"/>
      </w:pPr>
      <w:r>
        <w:t xml:space="preserve">4. </w:t>
      </w:r>
      <w:r w:rsidRPr="00D118E4">
        <w:rPr>
          <w:b/>
        </w:rPr>
        <w:t>Centri di competenza territoriale</w:t>
      </w:r>
      <w:r>
        <w:t xml:space="preserve"> per assistenza tecnica e progettazione integrata.</w:t>
      </w:r>
    </w:p>
    <w:p w:rsidR="00D23052" w:rsidRDefault="00D23052" w:rsidP="00D23052">
      <w:pPr>
        <w:spacing w:after="0" w:line="240" w:lineRule="auto"/>
        <w:jc w:val="both"/>
      </w:pPr>
      <w:r>
        <w:t xml:space="preserve">5. </w:t>
      </w:r>
      <w:r w:rsidRPr="00D118E4">
        <w:rPr>
          <w:b/>
        </w:rPr>
        <w:t>Gestori del monitoraggio</w:t>
      </w:r>
      <w:r>
        <w:t xml:space="preserve"> delle strategie regionali su biodiversità e cambiamenti climatici. Con questo profilo il Parco diventerebbe un’infrastruttura istituzionale europea, capace di portare investimenti reali nelle aree interne e contribuire a ripopolamento, coesione territoriale e innovazione. </w:t>
      </w:r>
    </w:p>
    <w:p w:rsidR="00161552" w:rsidRDefault="00161552" w:rsidP="00D23052">
      <w:pPr>
        <w:spacing w:after="0" w:line="240" w:lineRule="auto"/>
        <w:jc w:val="both"/>
      </w:pPr>
    </w:p>
    <w:p w:rsidR="00D23052" w:rsidRDefault="00D23052" w:rsidP="00D23052">
      <w:pPr>
        <w:spacing w:after="0" w:line="240" w:lineRule="auto"/>
        <w:jc w:val="both"/>
      </w:pPr>
      <w:r>
        <w:t>Sono alcuni spunti per un contributo di merito alla</w:t>
      </w:r>
      <w:r w:rsidR="00F71D2E">
        <w:t xml:space="preserve"> discussione che contengono </w:t>
      </w:r>
      <w:r w:rsidR="00B557D7">
        <w:t xml:space="preserve"> idee ardite,</w:t>
      </w:r>
      <w:r>
        <w:t xml:space="preserve"> sicuramente</w:t>
      </w:r>
      <w:r w:rsidR="00B557D7">
        <w:t>,</w:t>
      </w:r>
      <w:r>
        <w:t xml:space="preserve"> </w:t>
      </w:r>
      <w:r w:rsidR="00B557D7">
        <w:t>ma anche una sfida,</w:t>
      </w:r>
      <w:r>
        <w:t xml:space="preserve"> una visione</w:t>
      </w:r>
      <w:r w:rsidR="00B557D7">
        <w:t xml:space="preserve"> con un orizzonte di breve e medio periodo</w:t>
      </w:r>
      <w:r>
        <w:t>.</w:t>
      </w:r>
    </w:p>
    <w:p w:rsidR="00D362B5" w:rsidRDefault="00D362B5" w:rsidP="00D23052">
      <w:pPr>
        <w:spacing w:after="0" w:line="240" w:lineRule="auto"/>
      </w:pPr>
    </w:p>
    <w:p w:rsidR="00D362B5" w:rsidRDefault="00D362B5" w:rsidP="00D23052">
      <w:pPr>
        <w:spacing w:after="0" w:line="240" w:lineRule="auto"/>
        <w:rPr>
          <w:i/>
        </w:rPr>
      </w:pPr>
    </w:p>
    <w:p w:rsidR="00FC6CA0" w:rsidRPr="00FC6CA0" w:rsidRDefault="00FC6CA0" w:rsidP="00D23052">
      <w:pPr>
        <w:spacing w:after="0" w:line="240" w:lineRule="auto"/>
        <w:ind w:left="3540" w:firstLine="708"/>
        <w:jc w:val="center"/>
      </w:pPr>
    </w:p>
    <w:p w:rsidR="0064492B" w:rsidRDefault="0064492B" w:rsidP="00D23052">
      <w:pPr>
        <w:spacing w:after="0" w:line="240" w:lineRule="auto"/>
        <w:jc w:val="both"/>
      </w:pPr>
    </w:p>
    <w:sectPr w:rsidR="0064492B" w:rsidSect="00644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53" w:rsidRDefault="00C21453" w:rsidP="0022340E">
      <w:pPr>
        <w:spacing w:after="0" w:line="240" w:lineRule="auto"/>
      </w:pPr>
      <w:r>
        <w:separator/>
      </w:r>
    </w:p>
  </w:endnote>
  <w:endnote w:type="continuationSeparator" w:id="0">
    <w:p w:rsidR="00C21453" w:rsidRDefault="00C21453" w:rsidP="0022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B4" w:rsidRDefault="00DD3B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B5" w:rsidRPr="00D94C12" w:rsidRDefault="00D94C12" w:rsidP="00D94C12">
    <w:pPr>
      <w:pStyle w:val="Pidipagina"/>
    </w:pPr>
    <w:r>
      <w:rPr>
        <w:noProof/>
        <w:lang w:eastAsia="it-IT"/>
      </w:rPr>
      <w:drawing>
        <wp:inline distT="0" distB="0" distL="0" distR="0">
          <wp:extent cx="6120130" cy="204470"/>
          <wp:effectExtent l="19050" t="0" r="0" b="0"/>
          <wp:docPr id="1" name="Immagine 0" descr="Bitmap in grafica carta intestata BAS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tmap in grafica carta intestata BASS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B4" w:rsidRDefault="00DD3BB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53" w:rsidRDefault="00C21453" w:rsidP="0022340E">
      <w:pPr>
        <w:spacing w:after="0" w:line="240" w:lineRule="auto"/>
      </w:pPr>
      <w:r>
        <w:separator/>
      </w:r>
    </w:p>
  </w:footnote>
  <w:footnote w:type="continuationSeparator" w:id="0">
    <w:p w:rsidR="00C21453" w:rsidRDefault="00C21453" w:rsidP="0022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B4" w:rsidRDefault="00DD3B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30" w:rsidRDefault="00D94C12" w:rsidP="00D94C1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3336" cy="1073951"/>
          <wp:effectExtent l="19050" t="0" r="2514" b="0"/>
          <wp:docPr id="2" name="Immagine 1" descr="Bitmap in grafica carta intestata 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tmap in grafica carta intestata SOP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336" cy="1073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67EA" w:rsidRDefault="00CB67EA" w:rsidP="00D94C12">
    <w:pPr>
      <w:pStyle w:val="Intestazione"/>
      <w:jc w:val="center"/>
    </w:pPr>
  </w:p>
  <w:p w:rsidR="00CB67EA" w:rsidRPr="00DD3BB4" w:rsidRDefault="00CB67EA" w:rsidP="00D94C12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B4" w:rsidRDefault="00DD3BB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7BD"/>
    <w:multiLevelType w:val="hybridMultilevel"/>
    <w:tmpl w:val="82B4C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3C76"/>
    <w:multiLevelType w:val="hybridMultilevel"/>
    <w:tmpl w:val="848A0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A5812"/>
    <w:multiLevelType w:val="hybridMultilevel"/>
    <w:tmpl w:val="C27EF4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70250"/>
    <w:multiLevelType w:val="hybridMultilevel"/>
    <w:tmpl w:val="E990CAE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AF02DC5"/>
    <w:multiLevelType w:val="hybridMultilevel"/>
    <w:tmpl w:val="89D2D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E1BB4"/>
    <w:multiLevelType w:val="hybridMultilevel"/>
    <w:tmpl w:val="FA5E7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36CA2"/>
    <w:multiLevelType w:val="hybridMultilevel"/>
    <w:tmpl w:val="81DA0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E3089"/>
    <w:multiLevelType w:val="hybridMultilevel"/>
    <w:tmpl w:val="58948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866E9"/>
    <w:multiLevelType w:val="hybridMultilevel"/>
    <w:tmpl w:val="AE8CE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34C13"/>
    <w:multiLevelType w:val="hybridMultilevel"/>
    <w:tmpl w:val="66CE5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B146E"/>
    <w:multiLevelType w:val="hybridMultilevel"/>
    <w:tmpl w:val="D2F0C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54BA8"/>
    <w:multiLevelType w:val="hybridMultilevel"/>
    <w:tmpl w:val="7982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E69AB"/>
    <w:multiLevelType w:val="hybridMultilevel"/>
    <w:tmpl w:val="17D81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61263"/>
    <w:multiLevelType w:val="hybridMultilevel"/>
    <w:tmpl w:val="08864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555A70"/>
    <w:multiLevelType w:val="hybridMultilevel"/>
    <w:tmpl w:val="7D8A8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22C24"/>
    <w:multiLevelType w:val="hybridMultilevel"/>
    <w:tmpl w:val="3C446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31880"/>
    <w:multiLevelType w:val="hybridMultilevel"/>
    <w:tmpl w:val="490A6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02945"/>
    <w:multiLevelType w:val="hybridMultilevel"/>
    <w:tmpl w:val="F4AE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9772D"/>
    <w:multiLevelType w:val="hybridMultilevel"/>
    <w:tmpl w:val="A7F01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551BF"/>
    <w:multiLevelType w:val="hybridMultilevel"/>
    <w:tmpl w:val="9DD8F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A076B"/>
    <w:multiLevelType w:val="multilevel"/>
    <w:tmpl w:val="8374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7C1CAF"/>
    <w:multiLevelType w:val="hybridMultilevel"/>
    <w:tmpl w:val="168EC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64A87"/>
    <w:multiLevelType w:val="hybridMultilevel"/>
    <w:tmpl w:val="CEAAE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09A1"/>
    <w:multiLevelType w:val="hybridMultilevel"/>
    <w:tmpl w:val="1B447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D1EF2"/>
    <w:multiLevelType w:val="hybridMultilevel"/>
    <w:tmpl w:val="A95E0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0"/>
  </w:num>
  <w:num w:numId="5">
    <w:abstractNumId w:val="23"/>
  </w:num>
  <w:num w:numId="6">
    <w:abstractNumId w:val="16"/>
  </w:num>
  <w:num w:numId="7">
    <w:abstractNumId w:val="6"/>
  </w:num>
  <w:num w:numId="8">
    <w:abstractNumId w:val="1"/>
  </w:num>
  <w:num w:numId="9">
    <w:abstractNumId w:val="12"/>
  </w:num>
  <w:num w:numId="10">
    <w:abstractNumId w:val="17"/>
  </w:num>
  <w:num w:numId="11">
    <w:abstractNumId w:val="11"/>
  </w:num>
  <w:num w:numId="12">
    <w:abstractNumId w:val="2"/>
  </w:num>
  <w:num w:numId="13">
    <w:abstractNumId w:val="5"/>
  </w:num>
  <w:num w:numId="14">
    <w:abstractNumId w:val="7"/>
  </w:num>
  <w:num w:numId="15">
    <w:abstractNumId w:val="9"/>
  </w:num>
  <w:num w:numId="16">
    <w:abstractNumId w:val="21"/>
  </w:num>
  <w:num w:numId="17">
    <w:abstractNumId w:val="14"/>
  </w:num>
  <w:num w:numId="18">
    <w:abstractNumId w:val="13"/>
  </w:num>
  <w:num w:numId="19">
    <w:abstractNumId w:val="4"/>
  </w:num>
  <w:num w:numId="20">
    <w:abstractNumId w:val="22"/>
  </w:num>
  <w:num w:numId="21">
    <w:abstractNumId w:val="24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07A36"/>
    <w:rsid w:val="000C64CD"/>
    <w:rsid w:val="00117B4B"/>
    <w:rsid w:val="00161552"/>
    <w:rsid w:val="00171291"/>
    <w:rsid w:val="001A6569"/>
    <w:rsid w:val="001E52DE"/>
    <w:rsid w:val="0022340E"/>
    <w:rsid w:val="00235C0C"/>
    <w:rsid w:val="002425FD"/>
    <w:rsid w:val="002B5D30"/>
    <w:rsid w:val="002D75DC"/>
    <w:rsid w:val="003F5E19"/>
    <w:rsid w:val="004A7325"/>
    <w:rsid w:val="00503F90"/>
    <w:rsid w:val="00536B1B"/>
    <w:rsid w:val="005C161D"/>
    <w:rsid w:val="005C6A74"/>
    <w:rsid w:val="005C721F"/>
    <w:rsid w:val="0060500F"/>
    <w:rsid w:val="0064492B"/>
    <w:rsid w:val="006527F2"/>
    <w:rsid w:val="006B65CD"/>
    <w:rsid w:val="00707C10"/>
    <w:rsid w:val="007E70D5"/>
    <w:rsid w:val="008871A3"/>
    <w:rsid w:val="008A5670"/>
    <w:rsid w:val="008C4315"/>
    <w:rsid w:val="008D4C5C"/>
    <w:rsid w:val="009E0668"/>
    <w:rsid w:val="00A0204F"/>
    <w:rsid w:val="00A45A1A"/>
    <w:rsid w:val="00B557D7"/>
    <w:rsid w:val="00C07A36"/>
    <w:rsid w:val="00C21453"/>
    <w:rsid w:val="00C258D3"/>
    <w:rsid w:val="00CB67EA"/>
    <w:rsid w:val="00D23052"/>
    <w:rsid w:val="00D362B5"/>
    <w:rsid w:val="00D94C12"/>
    <w:rsid w:val="00DD3BB4"/>
    <w:rsid w:val="00E44097"/>
    <w:rsid w:val="00E575CB"/>
    <w:rsid w:val="00EE2C96"/>
    <w:rsid w:val="00F46D96"/>
    <w:rsid w:val="00F71D2E"/>
    <w:rsid w:val="00FC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92B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B67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23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2340E"/>
  </w:style>
  <w:style w:type="paragraph" w:styleId="Pidipagina">
    <w:name w:val="footer"/>
    <w:basedOn w:val="Normale"/>
    <w:link w:val="PidipaginaCarattere"/>
    <w:uiPriority w:val="99"/>
    <w:semiHidden/>
    <w:unhideWhenUsed/>
    <w:rsid w:val="00223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234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C1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67E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TW"/>
    </w:rPr>
  </w:style>
  <w:style w:type="character" w:styleId="Enfasigrassetto">
    <w:name w:val="Strong"/>
    <w:basedOn w:val="Carpredefinitoparagrafo"/>
    <w:uiPriority w:val="22"/>
    <w:qFormat/>
    <w:rsid w:val="00CB67E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B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Paragrafoelenco">
    <w:name w:val="List Paragraph"/>
    <w:basedOn w:val="Normale"/>
    <w:uiPriority w:val="34"/>
    <w:qFormat/>
    <w:rsid w:val="00D23052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29E3E-B6C8-4D8D-B2DA-64DF4BEB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cp:lastPrinted>2025-01-17T17:33:00Z</cp:lastPrinted>
  <dcterms:created xsi:type="dcterms:W3CDTF">2025-11-21T22:03:00Z</dcterms:created>
  <dcterms:modified xsi:type="dcterms:W3CDTF">2025-11-22T08:50:00Z</dcterms:modified>
</cp:coreProperties>
</file>